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14:paraId="0DCFB30F" w14:textId="77777777" w:rsidTr="00351E3E">
        <w:trPr>
          <w:trHeight w:val="28"/>
        </w:trPr>
        <w:tc>
          <w:tcPr>
            <w:tcW w:w="9796" w:type="dxa"/>
            <w:gridSpan w:val="4"/>
            <w:tcBorders>
              <w:top w:val="nil"/>
              <w:left w:val="nil"/>
              <w:bottom w:val="nil"/>
              <w:right w:val="nil"/>
            </w:tcBorders>
            <w:shd w:val="clear" w:color="auto" w:fill="auto"/>
            <w:noWrap/>
            <w:vAlign w:val="center"/>
            <w:hideMark/>
          </w:tcPr>
          <w:p w14:paraId="34315660" w14:textId="77777777"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14:paraId="63CB6CA0" w14:textId="77777777"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14:paraId="0E132878" w14:textId="27B16F21"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w:t>
            </w:r>
            <w:r w:rsidR="005D197A">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年</w:t>
            </w:r>
            <w:r w:rsidR="007D299F">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月</w:t>
            </w:r>
            <w:r w:rsidR="007D299F">
              <w:rPr>
                <w:rFonts w:ascii="ＭＳ ゴシック" w:eastAsia="ＭＳ ゴシック" w:hAnsi="ＭＳ ゴシック" w:hint="eastAsia"/>
                <w:b/>
                <w:bCs/>
                <w:sz w:val="26"/>
                <w:szCs w:val="26"/>
              </w:rPr>
              <w:t xml:space="preserve">　</w:t>
            </w:r>
            <w:r w:rsidRPr="00C478E8">
              <w:rPr>
                <w:rFonts w:ascii="ＭＳ ゴシック" w:eastAsia="ＭＳ ゴシック" w:hAnsi="ＭＳ ゴシック" w:hint="eastAsia"/>
                <w:b/>
                <w:bCs/>
                <w:sz w:val="26"/>
                <w:szCs w:val="26"/>
              </w:rPr>
              <w:t>日</w:t>
            </w:r>
          </w:p>
          <w:p w14:paraId="10043E1E" w14:textId="77777777"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14:paraId="703C973A"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7414F5BA" w14:textId="77777777"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23D203" w14:textId="77777777"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14:paraId="78A71ECC"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5F82799D"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06B75" w14:textId="746F499A"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14:paraId="01CDA454" w14:textId="77777777"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3E557A43"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14:paraId="70402372" w14:textId="77777777"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9CB4B6" w14:textId="6C67910E" w:rsidR="000F3475" w:rsidRPr="00515DB9" w:rsidRDefault="00980779" w:rsidP="00097713">
            <w:pPr>
              <w:widowControl/>
              <w:jc w:val="center"/>
              <w:rPr>
                <w:rFonts w:ascii="HGP教科書体" w:eastAsia="HGP教科書体" w:hAnsi="ＭＳ 明朝" w:cs="ＭＳ Ｐゴシック"/>
                <w:kern w:val="0"/>
                <w:sz w:val="24"/>
                <w:szCs w:val="24"/>
              </w:rPr>
            </w:pPr>
            <w:r>
              <w:rPr>
                <w:rFonts w:ascii="HGP教科書体" w:eastAsia="HGP教科書体" w:hAnsi="ＭＳ 明朝" w:cs="ＭＳ Ｐゴシック" w:hint="eastAsia"/>
                <w:noProof/>
                <w:kern w:val="0"/>
                <w:sz w:val="24"/>
                <w:szCs w:val="24"/>
              </w:rPr>
              <mc:AlternateContent>
                <mc:Choice Requires="wps">
                  <w:drawing>
                    <wp:anchor distT="0" distB="0" distL="114300" distR="114300" simplePos="0" relativeHeight="251659264" behindDoc="0" locked="0" layoutInCell="1" allowOverlap="1" wp14:anchorId="4E038A9D" wp14:editId="1E1EFEB7">
                      <wp:simplePos x="0" y="0"/>
                      <wp:positionH relativeFrom="column">
                        <wp:posOffset>1892300</wp:posOffset>
                      </wp:positionH>
                      <wp:positionV relativeFrom="paragraph">
                        <wp:posOffset>-6985</wp:posOffset>
                      </wp:positionV>
                      <wp:extent cx="542925" cy="247650"/>
                      <wp:effectExtent l="0" t="0" r="28575" b="19050"/>
                      <wp:wrapNone/>
                      <wp:docPr id="283260804" name="楕円 1"/>
                      <wp:cNvGraphicFramePr/>
                      <a:graphic xmlns:a="http://schemas.openxmlformats.org/drawingml/2006/main">
                        <a:graphicData uri="http://schemas.microsoft.com/office/word/2010/wordprocessingShape">
                          <wps:wsp>
                            <wps:cNvSpPr/>
                            <wps:spPr>
                              <a:xfrm>
                                <a:off x="0" y="0"/>
                                <a:ext cx="542925" cy="247650"/>
                              </a:xfrm>
                              <a:prstGeom prst="ellipse">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26DDF" id="楕円 1" o:spid="_x0000_s1026" style="position:absolute;left:0;text-align:left;margin-left:149pt;margin-top:-.55pt;width:42.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" filled="f" strokecolor="black [3213]" strokeweight=".5pt">
                      <v:stroke joinstyle="miter"/>
                    </v:oval>
                  </w:pict>
                </mc:Fallback>
              </mc:AlternateContent>
            </w:r>
            <w:r w:rsidR="00657423"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00657423" w:rsidRPr="00515DB9">
              <w:rPr>
                <w:rFonts w:ascii="HGP教科書体" w:eastAsia="HGP教科書体" w:hAnsi="ＭＳ 明朝" w:cs="ＭＳ Ｐゴシック" w:hint="eastAsia"/>
                <w:kern w:val="0"/>
                <w:sz w:val="24"/>
                <w:szCs w:val="24"/>
              </w:rPr>
              <w:t>その他（　　　　　　）</w:t>
            </w:r>
          </w:p>
        </w:tc>
      </w:tr>
      <w:tr w:rsidR="00E04F29" w:rsidRPr="009C7B4D" w14:paraId="3DFEA5FC" w14:textId="77777777"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4925E7CF" w14:textId="77777777"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3ABA01" w14:textId="09AFABC8" w:rsidR="00D61A35" w:rsidRPr="00515DB9" w:rsidRDefault="00980779" w:rsidP="00657423">
            <w:pPr>
              <w:widowControl/>
              <w:jc w:val="center"/>
              <w:rPr>
                <w:rFonts w:ascii="HGP教科書体" w:eastAsia="HGP教科書体" w:hAnsi="ＭＳ 明朝" w:cs="ＭＳ Ｐゴシック"/>
                <w:kern w:val="0"/>
                <w:sz w:val="24"/>
                <w:szCs w:val="24"/>
              </w:rPr>
            </w:pPr>
            <w:r>
              <w:rPr>
                <w:rFonts w:ascii="HGP教科書体" w:eastAsia="HGP教科書体" w:hAnsi="ＭＳ 明朝" w:cs="ＭＳ Ｐゴシック" w:hint="eastAsia"/>
                <w:noProof/>
                <w:kern w:val="0"/>
                <w:sz w:val="24"/>
                <w:szCs w:val="24"/>
              </w:rPr>
              <mc:AlternateContent>
                <mc:Choice Requires="wps">
                  <w:drawing>
                    <wp:anchor distT="0" distB="0" distL="114300" distR="114300" simplePos="0" relativeHeight="251661312" behindDoc="0" locked="0" layoutInCell="1" allowOverlap="1" wp14:anchorId="782E1860" wp14:editId="3514C14F">
                      <wp:simplePos x="0" y="0"/>
                      <wp:positionH relativeFrom="column">
                        <wp:posOffset>1845310</wp:posOffset>
                      </wp:positionH>
                      <wp:positionV relativeFrom="paragraph">
                        <wp:posOffset>8890</wp:posOffset>
                      </wp:positionV>
                      <wp:extent cx="314325" cy="200025"/>
                      <wp:effectExtent l="0" t="0" r="28575" b="28575"/>
                      <wp:wrapNone/>
                      <wp:docPr id="1720110697" name="楕円 1"/>
                      <wp:cNvGraphicFramePr/>
                      <a:graphic xmlns:a="http://schemas.openxmlformats.org/drawingml/2006/main">
                        <a:graphicData uri="http://schemas.microsoft.com/office/word/2010/wordprocessingShape">
                          <wps:wsp>
                            <wps:cNvSpPr/>
                            <wps:spPr>
                              <a:xfrm>
                                <a:off x="0" y="0"/>
                                <a:ext cx="314325" cy="200025"/>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58A20C" id="楕円 1" o:spid="_x0000_s1026" style="position:absolute;left:0;text-align:left;margin-left:145.3pt;margin-top:.7pt;width:24.7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" filled="f" strokecolor="windowText" strokeweight=".5pt">
                      <v:stroke joinstyle="miter"/>
                    </v:oval>
                  </w:pict>
                </mc:Fallback>
              </mc:AlternateContent>
            </w:r>
            <w:r w:rsidR="00BC3F07" w:rsidRPr="00515DB9">
              <w:rPr>
                <w:rFonts w:ascii="HGP教科書体" w:eastAsia="HGP教科書体" w:hAnsi="ＭＳ 明朝" w:cs="ＭＳ Ｐゴシック" w:hint="eastAsia"/>
                <w:kern w:val="0"/>
                <w:sz w:val="24"/>
                <w:szCs w:val="24"/>
              </w:rPr>
              <w:t>有　／　無</w:t>
            </w:r>
          </w:p>
        </w:tc>
      </w:tr>
      <w:tr w:rsidR="00E04F29" w:rsidRPr="009C7B4D" w14:paraId="45ED6C39" w14:textId="77777777"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14:paraId="6D32846B" w14:textId="77777777"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0EEED6" w14:textId="77777777"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14:paraId="6630084D" w14:textId="77777777" w:rsidTr="00351E3E">
        <w:trPr>
          <w:trHeight w:val="28"/>
        </w:trPr>
        <w:tc>
          <w:tcPr>
            <w:tcW w:w="9796" w:type="dxa"/>
            <w:gridSpan w:val="4"/>
            <w:tcBorders>
              <w:top w:val="single" w:sz="4" w:space="0" w:color="auto"/>
              <w:left w:val="nil"/>
              <w:bottom w:val="nil"/>
              <w:right w:val="nil"/>
            </w:tcBorders>
            <w:shd w:val="clear" w:color="auto" w:fill="auto"/>
            <w:noWrap/>
            <w:vAlign w:val="center"/>
          </w:tcPr>
          <w:p w14:paraId="405D9070" w14:textId="77777777"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14:paraId="607AE856" w14:textId="77777777"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14:paraId="3EC7D4A9" w14:textId="77777777" w:rsidTr="00980779">
        <w:trPr>
          <w:trHeight w:val="397"/>
        </w:trPr>
        <w:tc>
          <w:tcPr>
            <w:tcW w:w="9796" w:type="dxa"/>
            <w:gridSpan w:val="4"/>
            <w:tcBorders>
              <w:top w:val="nil"/>
              <w:left w:val="nil"/>
              <w:bottom w:val="single" w:sz="4" w:space="0" w:color="auto"/>
              <w:right w:val="nil"/>
            </w:tcBorders>
            <w:shd w:val="clear" w:color="auto" w:fill="auto"/>
            <w:hideMark/>
          </w:tcPr>
          <w:p w14:paraId="5BBB62BD" w14:textId="77777777"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14:paraId="1D6F47F1" w14:textId="77777777"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133635BB" w14:textId="77777777"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1B814B6"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2DFF526D" w14:textId="77777777"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3709DDF0" w14:textId="77777777"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14:paraId="10941ED3" w14:textId="77777777"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0AE7EB93" w14:textId="77777777"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5127A05F"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784042B6"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544C3707"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660707C2" w14:textId="77777777"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7E452CAE"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ED01DF3"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119CE2A"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62DC8A77" w14:textId="77777777"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C189E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41007"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79D5C"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64507B0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8F25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35B7CA"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8A575"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6ABAF34F" w14:textId="77777777"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8DA42B"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E00EE4" w14:textId="77777777"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A811AE"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27DCDC8B"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51942"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76C09C"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7ED0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14:paraId="599A0932"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058069"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1C13A8"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D2B1A3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477806F" w14:textId="77777777"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55FB31C"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66FAE2"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0B39567"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74CBA1CD" w14:textId="77777777"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87115E" w14:textId="77777777"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B22454" w14:textId="77777777"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4289AE9" w14:textId="77777777"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14:paraId="55B4CFDF" w14:textId="77777777"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0B286A"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1A3690"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EABF3CC"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14:paraId="55D2B051" w14:textId="77777777" w:rsidTr="00980779">
        <w:trPr>
          <w:trHeight w:val="180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497741B"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114DFE56"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7822EA80"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6E8B38B8"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6E0BCD5F"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14:paraId="58E707CF"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C3088B"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2B6C4C" w14:textId="77777777"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BE69B76"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14:paraId="015CA792" w14:textId="77777777"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23797A"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F7F8AB" w14:textId="77777777"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50B6633" w14:textId="77777777"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6BE5E899"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A9534E0"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A4EFE"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1552E80"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50C9CACD"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191869" w14:textId="77777777"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CA6476" w14:textId="77777777"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167CE780"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14:paraId="1294D71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76083E" w14:textId="77777777"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71056" w14:textId="77777777"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CAA769A" w14:textId="77777777"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14:paraId="484B9583"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0CBC29"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9B682E"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6F88D25"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383D114F"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B3B0F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98963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6C6EB49"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FB9095C" w14:textId="77777777"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9CDC99C"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BC2B3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BD2594E"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67FE296"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A8EA5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33A06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E9CF56A"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41AED1C0" w14:textId="77777777"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32470BA"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805806A"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461C2B1D"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14:paraId="136F12EC"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B180E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AE2B4"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4C7E37D"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14:paraId="21D5EEC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35996A"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B3B64" w14:textId="77777777"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37325AE6" w14:textId="77777777"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14:paraId="53C35CC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368EEE"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16083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F470CD0"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C731BEA"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CA461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F06C86"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C802E0A"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68B59703" w14:textId="77777777"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702913D"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A9198" w14:textId="77777777"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7007C83" w14:textId="77777777"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14:paraId="00C06E76" w14:textId="77777777" w:rsidTr="00980779">
        <w:trPr>
          <w:trHeight w:val="802"/>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6F3DD0"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A3015E" w14:textId="77777777"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177864D1" w14:textId="77777777"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14:paraId="23719E02" w14:textId="77777777"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715A51BF" w14:textId="77777777"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14:paraId="30FF0506"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14:paraId="42708721"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14:paraId="71FCCF8E" w14:textId="77777777"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14:paraId="0AB3813C" w14:textId="77777777"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14:paraId="2BF84B7D"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C789F1"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3CCDF"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7ED77D8B"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59E8EC1" w14:textId="77777777"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74B5FA"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76212B"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2DE35772"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0EB5CEE8" w14:textId="77777777"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14:paraId="2ED72987"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14:paraId="0F60E85A" w14:textId="77777777"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14:paraId="13BE830A"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60C84B0B" w14:textId="77777777"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CF5D90"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4561DD"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DC81B33"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10E104E6"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EF3D04A"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AB47"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64D9C17F" w14:textId="77777777"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467D84F3" w14:textId="77777777"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85A447"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FBFE86"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56604680"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242F9AE"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62400F"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405ADC"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BEA9AD6"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14:paraId="5ACDA3B7"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715E4D"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E3BA4DD" w14:textId="77777777"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14:paraId="2130738D" w14:textId="77777777"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14:paraId="58EF7551" w14:textId="77777777"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0E85DD"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235B8" w14:textId="77777777"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14:paraId="5743A3CB" w14:textId="77777777"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14:paraId="757484B5" w14:textId="77777777" w:rsidR="00AA6D12" w:rsidRPr="009C7B4D" w:rsidRDefault="00AA6D12">
      <w:pPr>
        <w:rPr>
          <w:rFonts w:ascii="ＭＳ 明朝" w:eastAsia="ＭＳ 明朝" w:hAnsi="ＭＳ 明朝"/>
        </w:rPr>
      </w:pPr>
    </w:p>
    <w:sectPr w:rsidR="00AA6D12" w:rsidRPr="009C7B4D" w:rsidSect="003E475B">
      <w:pgSz w:w="11906" w:h="16838" w:code="9"/>
      <w:pgMar w:top="1134" w:right="1021" w:bottom="1134" w:left="1247"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143EB" w14:textId="77777777" w:rsidR="009C7B4D" w:rsidRDefault="009C7B4D" w:rsidP="00B778DB">
      <w:r>
        <w:separator/>
      </w:r>
    </w:p>
  </w:endnote>
  <w:endnote w:type="continuationSeparator" w:id="0">
    <w:p w14:paraId="302C14AB" w14:textId="77777777" w:rsidR="009C7B4D" w:rsidRDefault="009C7B4D"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3FD42" w14:textId="77777777" w:rsidR="009C7B4D" w:rsidRDefault="009C7B4D" w:rsidP="00B778DB">
      <w:r>
        <w:separator/>
      </w:r>
    </w:p>
  </w:footnote>
  <w:footnote w:type="continuationSeparator" w:id="0">
    <w:p w14:paraId="01C7C45F" w14:textId="77777777" w:rsidR="009C7B4D" w:rsidRDefault="009C7B4D"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3E475B"/>
    <w:rsid w:val="00410663"/>
    <w:rsid w:val="004A5F0A"/>
    <w:rsid w:val="00515DB9"/>
    <w:rsid w:val="00595066"/>
    <w:rsid w:val="005D197A"/>
    <w:rsid w:val="00657423"/>
    <w:rsid w:val="00666CFF"/>
    <w:rsid w:val="006B3368"/>
    <w:rsid w:val="006E4679"/>
    <w:rsid w:val="0077066A"/>
    <w:rsid w:val="00787411"/>
    <w:rsid w:val="007D299F"/>
    <w:rsid w:val="00800288"/>
    <w:rsid w:val="00852118"/>
    <w:rsid w:val="008F0403"/>
    <w:rsid w:val="00920261"/>
    <w:rsid w:val="009459AF"/>
    <w:rsid w:val="00980779"/>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42713D05"/>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A95F1-F9AC-45C7-ADB1-C96F8C5B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259</Words>
  <Characters>1481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midori18</cp:lastModifiedBy>
  <cp:revision>10</cp:revision>
  <cp:lastPrinted>2024-04-03T06:58:00Z</cp:lastPrinted>
  <dcterms:created xsi:type="dcterms:W3CDTF">2021-02-24T10:43:00Z</dcterms:created>
  <dcterms:modified xsi:type="dcterms:W3CDTF">2024-04-03T07:00:00Z</dcterms:modified>
</cp:coreProperties>
</file>